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"/>
        <w:gridCol w:w="6376"/>
        <w:gridCol w:w="1700"/>
      </w:tblGrid>
      <w:tr w:rsidR="000F2C0B" w:rsidTr="0023648F">
        <w:tc>
          <w:tcPr>
            <w:tcW w:w="997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sz w:val="22"/>
                <w:u w:val="single"/>
              </w:rPr>
            </w:pPr>
          </w:p>
        </w:tc>
        <w:tc>
          <w:tcPr>
            <w:tcW w:w="6376" w:type="dxa"/>
          </w:tcPr>
          <w:p w:rsidR="000F2C0B" w:rsidRPr="00374E05" w:rsidRDefault="000F2C0B" w:rsidP="0023648F">
            <w:pPr>
              <w:spacing w:before="0"/>
              <w:jc w:val="center"/>
              <w:rPr>
                <w:rFonts w:ascii="Arial Mäori" w:hAnsi="Arial Mäori"/>
                <w:b/>
                <w:bCs/>
                <w:sz w:val="24"/>
                <w:u w:val="single"/>
              </w:rPr>
            </w:pPr>
            <w:r w:rsidRPr="00374E05">
              <w:rPr>
                <w:rFonts w:ascii="Arial Mäori" w:hAnsi="Arial Mäori"/>
                <w:b/>
                <w:bCs/>
                <w:sz w:val="24"/>
                <w:u w:val="single"/>
              </w:rPr>
              <w:t>CANON VI</w:t>
            </w:r>
          </w:p>
          <w:p w:rsidR="000F2C0B" w:rsidRDefault="000F2C0B" w:rsidP="0023648F">
            <w:pPr>
              <w:spacing w:before="0"/>
              <w:jc w:val="center"/>
              <w:rPr>
                <w:rFonts w:ascii="Arial Mäori" w:hAnsi="Arial Mäori"/>
                <w:sz w:val="24"/>
                <w:u w:val="single"/>
              </w:rPr>
            </w:pPr>
            <w:r w:rsidRPr="00374E05">
              <w:rPr>
                <w:rFonts w:ascii="Arial Mäori" w:hAnsi="Arial Mäori"/>
                <w:b/>
                <w:bCs/>
                <w:sz w:val="24"/>
                <w:u w:val="single"/>
              </w:rPr>
              <w:t>OF APPOINTMENT AND REMOVAL OF TRUSTEES</w:t>
            </w:r>
          </w:p>
        </w:tc>
        <w:tc>
          <w:tcPr>
            <w:tcW w:w="1700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  <w:u w:val="single"/>
              </w:rPr>
            </w:pPr>
          </w:p>
        </w:tc>
      </w:tr>
      <w:tr w:rsidR="000F2C0B" w:rsidTr="0023648F">
        <w:tc>
          <w:tcPr>
            <w:tcW w:w="997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>1.</w:t>
            </w:r>
          </w:p>
        </w:tc>
        <w:tc>
          <w:tcPr>
            <w:tcW w:w="6376" w:type="dxa"/>
          </w:tcPr>
          <w:p w:rsidR="000F2C0B" w:rsidRDefault="000F2C0B" w:rsidP="0023648F">
            <w:pPr>
              <w:spacing w:before="0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 xml:space="preserve">The Standing Committee of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when in session shall be a body authorised by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act on its behalf and exercise the powers under Section 20 of the Anglican Church Trusts Act, 1981.</w:t>
            </w:r>
          </w:p>
        </w:tc>
        <w:tc>
          <w:tcPr>
            <w:tcW w:w="1700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  <w:u w:val="single"/>
              </w:rPr>
            </w:pPr>
            <w:r>
              <w:rPr>
                <w:rFonts w:ascii="Arial Mäori" w:hAnsi="Arial Mäori"/>
                <w:i/>
                <w:sz w:val="18"/>
              </w:rPr>
              <w:t>Standing Committee authorised to act.</w:t>
            </w:r>
          </w:p>
        </w:tc>
      </w:tr>
      <w:tr w:rsidR="000F2C0B" w:rsidTr="0023648F">
        <w:tc>
          <w:tcPr>
            <w:tcW w:w="997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>2.</w:t>
            </w:r>
          </w:p>
        </w:tc>
        <w:tc>
          <w:tcPr>
            <w:tcW w:w="6376" w:type="dxa"/>
          </w:tcPr>
          <w:p w:rsidR="000F2C0B" w:rsidRDefault="000F2C0B" w:rsidP="0023648F">
            <w:pPr>
              <w:spacing w:before="0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 xml:space="preserve">When neither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nor its Standing Committee is in session, the Diocesan Synod / Hui Amorangi when in session and when not in session then the Appointing Body of the Diocese / Hui Amorangi, in respect of the Trustees of Trusts for the benefit of that Diocese / Hui Amorangi, or the endowment of the Bishopric of that Diocese / Hui Amorangi, or for parochial / </w:t>
            </w:r>
            <w:proofErr w:type="spellStart"/>
            <w:r>
              <w:rPr>
                <w:rFonts w:ascii="Arial Mäori" w:hAnsi="Arial Mäori"/>
                <w:sz w:val="22"/>
              </w:rPr>
              <w:t>Rohe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or other purposes within that Diocese / Hui Amorangi, shall be bodies duly authorised by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act on its behalf and exercise the powers under Section 20 of the Anglican Church Trusts Act, 1981.</w:t>
            </w:r>
          </w:p>
        </w:tc>
        <w:tc>
          <w:tcPr>
            <w:tcW w:w="1700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Other bodies duly authorised, 1996.</w:t>
            </w:r>
          </w:p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  <w:u w:val="single"/>
              </w:rPr>
            </w:pPr>
          </w:p>
        </w:tc>
      </w:tr>
      <w:tr w:rsidR="000F2C0B" w:rsidTr="0023648F">
        <w:tc>
          <w:tcPr>
            <w:tcW w:w="997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>3.</w:t>
            </w:r>
          </w:p>
        </w:tc>
        <w:tc>
          <w:tcPr>
            <w:tcW w:w="6376" w:type="dxa"/>
          </w:tcPr>
          <w:p w:rsidR="000F2C0B" w:rsidRDefault="000F2C0B" w:rsidP="0023648F">
            <w:pPr>
              <w:spacing w:before="0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 xml:space="preserve">When neither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nor its Standing Committee is in session, Te Runanganui o Te </w:t>
            </w:r>
            <w:proofErr w:type="spellStart"/>
            <w:r>
              <w:rPr>
                <w:rFonts w:ascii="Arial Mäori" w:hAnsi="Arial Mäori"/>
                <w:sz w:val="22"/>
              </w:rPr>
              <w:t>P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hopatanga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 Aotearoa when in session, or when not in session Te </w:t>
            </w:r>
            <w:proofErr w:type="spellStart"/>
            <w:r>
              <w:rPr>
                <w:rFonts w:ascii="Arial Mäori" w:hAnsi="Arial Mäori"/>
                <w:sz w:val="22"/>
              </w:rPr>
              <w:t>Runanga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, in respect of the Trustees of Trusts of any property held for general Church purposes associated with Te </w:t>
            </w:r>
            <w:proofErr w:type="spellStart"/>
            <w:r>
              <w:rPr>
                <w:rFonts w:ascii="Arial Mäori" w:hAnsi="Arial Mäori"/>
                <w:sz w:val="22"/>
              </w:rPr>
              <w:t>P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hopatanga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 Aotearoa or for the endowment of Te </w:t>
            </w:r>
            <w:proofErr w:type="spellStart"/>
            <w:r>
              <w:rPr>
                <w:rFonts w:ascii="Arial Mäori" w:hAnsi="Arial Mäori"/>
                <w:sz w:val="22"/>
              </w:rPr>
              <w:t>P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hopatanga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or for other exclusively Māori Church purposes shall be bodies duly authorised by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act on its behalf and exercise the powers under Section 20 of the Anglican Church Trusts Act, 1981.</w:t>
            </w:r>
          </w:p>
        </w:tc>
        <w:tc>
          <w:tcPr>
            <w:tcW w:w="1700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 xml:space="preserve">Provision for Te </w:t>
            </w:r>
            <w:proofErr w:type="spellStart"/>
            <w:r>
              <w:rPr>
                <w:rFonts w:ascii="Arial Mäori" w:hAnsi="Arial Mäori"/>
                <w:i/>
                <w:sz w:val="18"/>
              </w:rPr>
              <w:t>Pïhopatanga</w:t>
            </w:r>
            <w:proofErr w:type="spellEnd"/>
            <w:r>
              <w:rPr>
                <w:rFonts w:ascii="Arial Mäori" w:hAnsi="Arial Mäori"/>
                <w:i/>
                <w:sz w:val="18"/>
              </w:rPr>
              <w:t xml:space="preserve"> o Aotearoa, 1996.</w:t>
            </w:r>
          </w:p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  <w:u w:val="single"/>
              </w:rPr>
            </w:pPr>
          </w:p>
        </w:tc>
      </w:tr>
      <w:tr w:rsidR="000F2C0B" w:rsidTr="0023648F">
        <w:tc>
          <w:tcPr>
            <w:tcW w:w="997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>4.     </w:t>
            </w:r>
          </w:p>
        </w:tc>
        <w:tc>
          <w:tcPr>
            <w:tcW w:w="6376" w:type="dxa"/>
          </w:tcPr>
          <w:p w:rsidR="000F2C0B" w:rsidRDefault="000F2C0B" w:rsidP="0023648F">
            <w:pPr>
              <w:spacing w:before="0"/>
              <w:rPr>
                <w:rFonts w:ascii="Arial Mäori" w:hAnsi="Arial Mäori"/>
                <w:b/>
                <w:sz w:val="22"/>
              </w:rPr>
            </w:pPr>
            <w:r>
              <w:rPr>
                <w:rFonts w:ascii="Arial Mäori" w:hAnsi="Arial Mäori"/>
                <w:sz w:val="22"/>
              </w:rPr>
              <w:t xml:space="preserve">The Diocesan Secretary of each Diocese and the Secretary of each Hui Amorangi and the Secretary to Te </w:t>
            </w:r>
            <w:proofErr w:type="spellStart"/>
            <w:r>
              <w:rPr>
                <w:rFonts w:ascii="Arial Mäori" w:hAnsi="Arial Mäori"/>
                <w:sz w:val="22"/>
              </w:rPr>
              <w:t>P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hopatanga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 Aotearoa shall each forward to the General Secretary of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immediately after the 31st December next preceding each biennial session of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a list of all appointments and removals of Trustees of Trusts made by the Synod of that Diocese or by the Appointing Body or by Te Runanganui o Te </w:t>
            </w:r>
            <w:proofErr w:type="spellStart"/>
            <w:r>
              <w:rPr>
                <w:rFonts w:ascii="Arial Mäori" w:hAnsi="Arial Mäori"/>
                <w:sz w:val="22"/>
              </w:rPr>
              <w:t>P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hopatanga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 Aotearoa or Te </w:t>
            </w:r>
            <w:proofErr w:type="spellStart"/>
            <w:r>
              <w:rPr>
                <w:rFonts w:ascii="Arial Mäori" w:hAnsi="Arial Mäori"/>
                <w:sz w:val="22"/>
              </w:rPr>
              <w:t>Runanga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or by a Hui Amorangi or by an Amorangi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as the case maybe pursuant to these authorities during the immediately preceding biennial period and such lists shall be printed in the volume of the Proceedings of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which such list is presented</w:t>
            </w:r>
            <w:r>
              <w:rPr>
                <w:rFonts w:ascii="Arial Mäori" w:hAnsi="Arial Mäori"/>
                <w:b/>
                <w:sz w:val="22"/>
              </w:rPr>
              <w:t>.</w:t>
            </w:r>
            <w:r>
              <w:rPr>
                <w:rFonts w:ascii="Arial Mäori" w:hAnsi="Arial Mäori"/>
                <w:b/>
                <w:sz w:val="22"/>
              </w:rPr>
              <w:tab/>
            </w:r>
          </w:p>
          <w:p w:rsidR="000F2C0B" w:rsidRDefault="000F2C0B" w:rsidP="0023648F">
            <w:pPr>
              <w:spacing w:before="0"/>
              <w:rPr>
                <w:rFonts w:ascii="Arial Mäori" w:hAnsi="Arial Mäori"/>
                <w:sz w:val="22"/>
                <w:u w:val="single"/>
              </w:rPr>
            </w:pPr>
          </w:p>
        </w:tc>
        <w:tc>
          <w:tcPr>
            <w:tcW w:w="1700" w:type="dxa"/>
          </w:tcPr>
          <w:p w:rsidR="000F2C0B" w:rsidRDefault="000F2C0B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  <w:u w:val="single"/>
              </w:rPr>
            </w:pPr>
            <w:r>
              <w:rPr>
                <w:rFonts w:ascii="Arial Mäori" w:hAnsi="Arial Mäori"/>
                <w:i/>
                <w:sz w:val="18"/>
              </w:rPr>
              <w:t xml:space="preserve">Appointments and removals to be notified to General Synod, 1996. </w:t>
            </w:r>
          </w:p>
        </w:tc>
      </w:tr>
    </w:tbl>
    <w:p w:rsidR="00C25F33" w:rsidRDefault="00C25F33"/>
    <w:sectPr w:rsidR="00C25F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2D" w:rsidRDefault="00893A2D" w:rsidP="000F2C0B">
      <w:pPr>
        <w:spacing w:before="0" w:after="0"/>
      </w:pPr>
      <w:r>
        <w:separator/>
      </w:r>
    </w:p>
  </w:endnote>
  <w:endnote w:type="continuationSeparator" w:id="0">
    <w:p w:rsidR="00893A2D" w:rsidRDefault="00893A2D" w:rsidP="000F2C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0B" w:rsidRPr="000F2C0B" w:rsidRDefault="000F2C0B" w:rsidP="00374E05">
    <w:pPr>
      <w:pStyle w:val="Footer"/>
      <w:numPr>
        <w:ilvl w:val="0"/>
        <w:numId w:val="2"/>
      </w:numPr>
      <w:tabs>
        <w:tab w:val="clear" w:pos="4513"/>
      </w:tabs>
      <w:ind w:left="4678" w:hanging="193"/>
      <w:rPr>
        <w:rFonts w:ascii="Times New Roman" w:hAnsi="Times New Roman"/>
      </w:rPr>
    </w:pPr>
    <w:r>
      <w:rPr>
        <w:rFonts w:ascii="Times New Roman" w:hAnsi="Times New Roman"/>
      </w:rPr>
      <w:t>F</w:t>
    </w:r>
    <w:r w:rsidR="00A502FC">
      <w:rPr>
        <w:rFonts w:ascii="Times New Roman" w:hAnsi="Times New Roman"/>
      </w:rPr>
      <w:t>.</w:t>
    </w:r>
    <w:r>
      <w:rPr>
        <w:rFonts w:ascii="Times New Roman" w:hAnsi="Times New Roman"/>
      </w:rPr>
      <w:t>17 -</w:t>
    </w:r>
    <w:r>
      <w:rPr>
        <w:rFonts w:ascii="Times New Roman" w:hAnsi="Times New Roman"/>
      </w:rP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2D" w:rsidRDefault="00893A2D" w:rsidP="000F2C0B">
      <w:pPr>
        <w:spacing w:before="0" w:after="0"/>
      </w:pPr>
      <w:r>
        <w:separator/>
      </w:r>
    </w:p>
  </w:footnote>
  <w:footnote w:type="continuationSeparator" w:id="0">
    <w:p w:rsidR="00893A2D" w:rsidRDefault="00893A2D" w:rsidP="000F2C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0B" w:rsidRPr="000F2C0B" w:rsidRDefault="000F2C0B" w:rsidP="000F2C0B">
    <w:pPr>
      <w:pStyle w:val="Header"/>
      <w:tabs>
        <w:tab w:val="clear" w:pos="9026"/>
        <w:tab w:val="left" w:pos="5670"/>
        <w:tab w:val="right" w:pos="8789"/>
      </w:tabs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  <w:t>CANON VI</w:t>
    </w:r>
    <w:r>
      <w:rPr>
        <w:b/>
        <w:sz w:val="22"/>
        <w:szCs w:val="22"/>
      </w:rPr>
      <w:tab/>
      <w:t>TITLE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6D0"/>
    <w:multiLevelType w:val="hybridMultilevel"/>
    <w:tmpl w:val="63D8D19E"/>
    <w:lvl w:ilvl="0" w:tplc="236AF9A8">
      <w:start w:val="1"/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423366DC"/>
    <w:multiLevelType w:val="hybridMultilevel"/>
    <w:tmpl w:val="FEBC164E"/>
    <w:lvl w:ilvl="0" w:tplc="AEBA84AA">
      <w:start w:val="1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0B"/>
    <w:rsid w:val="000433E0"/>
    <w:rsid w:val="000F2C0B"/>
    <w:rsid w:val="00374E05"/>
    <w:rsid w:val="00893A2D"/>
    <w:rsid w:val="008E7FF2"/>
    <w:rsid w:val="00A502FC"/>
    <w:rsid w:val="00C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6A64"/>
  <w15:chartTrackingRefBased/>
  <w15:docId w15:val="{968E3B52-6E09-4734-99FE-2681241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2C0B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0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C0B"/>
    <w:rPr>
      <w:rFonts w:ascii="Arial" w:eastAsia="Times New Roman" w:hAnsi="Arial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F2C0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C0B"/>
    <w:rPr>
      <w:rFonts w:ascii="Arial" w:eastAsia="Times New Roman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CED28-9C9A-4B00-AEAD-1B22432C8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5C92-E7E4-4488-8900-43B8DEE0B9B7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1A7E115A-205E-4379-BE20-54FF04DA2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F17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F17</dc:title>
  <dc:subject/>
  <dc:creator>Marissa Alix</dc:creator>
  <cp:keywords/>
  <dc:description/>
  <cp:lastModifiedBy>Marissa Alix</cp:lastModifiedBy>
  <cp:revision>2</cp:revision>
  <dcterms:created xsi:type="dcterms:W3CDTF">2017-04-28T02:23:00Z</dcterms:created>
  <dcterms:modified xsi:type="dcterms:W3CDTF">2017-04-28T02:23:00Z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